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72" w:rsidRPr="00DE70EB" w:rsidRDefault="00F76172" w:rsidP="00DE70EB">
      <w:pPr>
        <w:shd w:val="clear" w:color="auto" w:fill="FFFFFF"/>
        <w:spacing w:line="240" w:lineRule="auto"/>
        <w:jc w:val="center"/>
        <w:rPr>
          <w:rFonts w:ascii="Times New Roman" w:eastAsia="Times New Roman" w:hAnsi="Times New Roman" w:cs="Times New Roman"/>
          <w:b/>
          <w:szCs w:val="19"/>
          <w:lang w:eastAsia="fr-FR"/>
        </w:rPr>
      </w:pPr>
      <w:r w:rsidRPr="00DE70EB">
        <w:rPr>
          <w:rFonts w:ascii="Times New Roman" w:eastAsia="Times New Roman" w:hAnsi="Times New Roman" w:cs="Times New Roman"/>
          <w:b/>
          <w:szCs w:val="19"/>
          <w:lang w:eastAsia="fr-FR"/>
        </w:rPr>
        <w:t>ANNEXE 2</w:t>
      </w:r>
    </w:p>
    <w:p w:rsidR="00F76172" w:rsidRPr="00DE70EB" w:rsidRDefault="00F76172" w:rsidP="00F76172">
      <w:pPr>
        <w:shd w:val="clear" w:color="auto" w:fill="FFFFFF"/>
        <w:spacing w:line="240" w:lineRule="auto"/>
        <w:ind w:left="180"/>
        <w:rPr>
          <w:rFonts w:ascii="Times New Roman" w:eastAsia="Times New Roman" w:hAnsi="Times New Roman" w:cs="Times New Roman"/>
          <w:color w:val="000000"/>
          <w:sz w:val="19"/>
          <w:szCs w:val="19"/>
          <w:lang w:eastAsia="fr-FR"/>
        </w:rPr>
      </w:pPr>
    </w:p>
    <w:p w:rsidR="00F76172" w:rsidRPr="00DE70EB" w:rsidRDefault="00F76172" w:rsidP="00DE70E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DE70EB">
        <w:rPr>
          <w:rFonts w:ascii="Times New Roman" w:eastAsia="Times New Roman" w:hAnsi="Times New Roman" w:cs="Times New Roman"/>
          <w:b/>
          <w:color w:val="1F497D" w:themeColor="text2"/>
          <w:sz w:val="28"/>
          <w:szCs w:val="28"/>
          <w:lang w:eastAsia="fr-FR"/>
        </w:rPr>
        <w:t xml:space="preserve">Partie A </w:t>
      </w:r>
      <w:r w:rsidR="00DE70EB" w:rsidRPr="00DE70EB">
        <w:rPr>
          <w:rFonts w:ascii="Times New Roman" w:eastAsia="Times New Roman" w:hAnsi="Times New Roman" w:cs="Times New Roman"/>
          <w:b/>
          <w:color w:val="1F497D" w:themeColor="text2"/>
          <w:sz w:val="28"/>
          <w:szCs w:val="28"/>
          <w:lang w:eastAsia="fr-FR"/>
        </w:rPr>
        <w:t>-</w:t>
      </w:r>
      <w:r w:rsidR="00DE70EB" w:rsidRPr="00DE70EB">
        <w:rPr>
          <w:rFonts w:ascii="Times New Roman" w:eastAsia="Times New Roman" w:hAnsi="Times New Roman" w:cs="Times New Roman"/>
          <w:b/>
          <w:color w:val="1F497D" w:themeColor="text2"/>
          <w:sz w:val="28"/>
          <w:szCs w:val="28"/>
          <w:lang w:eastAsia="fr-FR"/>
        </w:rPr>
        <w:tab/>
      </w:r>
      <w:r w:rsidRPr="00DE70EB">
        <w:rPr>
          <w:rFonts w:ascii="Times New Roman" w:eastAsia="Times New Roman" w:hAnsi="Times New Roman" w:cs="Times New Roman"/>
          <w:b/>
          <w:color w:val="1F497D" w:themeColor="text2"/>
          <w:sz w:val="28"/>
          <w:szCs w:val="28"/>
          <w:lang w:eastAsia="fr-FR"/>
        </w:rPr>
        <w:t>Formulaire d'information standard lorsque le professionnel facilitant une prestation de voyage liée en ligne au sens de l'article L. 211-2 III 1° du code du tourisme, est un transporteur vendant un billet aller-retour</w:t>
      </w:r>
    </w:p>
    <w:p w:rsidR="00DE70EB" w:rsidRPr="00DE70EB" w:rsidRDefault="00DE70EB" w:rsidP="00DE70E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p>
    <w:tbl>
      <w:tblPr>
        <w:tblW w:w="9233" w:type="dxa"/>
        <w:jc w:val="center"/>
        <w:tblInd w:w="36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233"/>
      </w:tblGrid>
      <w:tr w:rsidR="00F76172" w:rsidRPr="00DE70EB" w:rsidTr="00B7257B">
        <w:trPr>
          <w:jc w:val="center"/>
        </w:trPr>
        <w:tc>
          <w:tcPr>
            <w:tcW w:w="9233"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DE70EB" w:rsidRPr="00DE70EB" w:rsidRDefault="00F76172" w:rsidP="00DE70EB">
            <w:pPr>
              <w:spacing w:after="0" w:line="240" w:lineRule="auto"/>
              <w:jc w:val="both"/>
              <w:rPr>
                <w:rFonts w:ascii="Times New Roman" w:eastAsia="Times New Roman" w:hAnsi="Times New Roman" w:cs="Times New Roman"/>
                <w:color w:val="000000"/>
                <w:sz w:val="24"/>
                <w:szCs w:val="24"/>
                <w:lang w:eastAsia="fr-FR"/>
              </w:rPr>
            </w:pPr>
            <w:bookmarkStart w:id="0" w:name="JORFARTI000036677182"/>
            <w:bookmarkStart w:id="1" w:name="_GoBack"/>
            <w:bookmarkEnd w:id="0"/>
            <w:r w:rsidRPr="00DE70EB">
              <w:rPr>
                <w:rFonts w:ascii="Times New Roman" w:eastAsia="Times New Roman" w:hAnsi="Times New Roman" w:cs="Times New Roman"/>
                <w:color w:val="000000"/>
                <w:sz w:val="24"/>
                <w:szCs w:val="24"/>
                <w:lang w:eastAsia="fr-FR"/>
              </w:rPr>
              <w:t>Si, après avoir choisi un service de voyage et l'avoir payé, vous réservez des services de voyage supplémentaires pour votre voyage ou séjour de vacances par l'intermédiaire de notre entreprise/de XY, vous NE bénéficierez PAS des droits applicables aux forfaits au titre de la directive (UE) 2015/2302 et de l'article L.211-2 du code du tourisme.</w:t>
            </w:r>
          </w:p>
          <w:p w:rsidR="00DE70EB" w:rsidRPr="00DE70EB" w:rsidRDefault="00DE70EB" w:rsidP="00DE70EB">
            <w:pPr>
              <w:spacing w:after="0" w:line="240" w:lineRule="auto"/>
              <w:jc w:val="both"/>
              <w:rPr>
                <w:rFonts w:ascii="Times New Roman" w:eastAsia="Times New Roman" w:hAnsi="Times New Roman" w:cs="Times New Roman"/>
                <w:color w:val="000000"/>
                <w:sz w:val="24"/>
                <w:szCs w:val="24"/>
                <w:lang w:eastAsia="fr-FR"/>
              </w:rPr>
            </w:pPr>
          </w:p>
          <w:p w:rsidR="00DE70EB" w:rsidRPr="00DE70EB" w:rsidRDefault="00F76172" w:rsidP="00DE70EB">
            <w:pPr>
              <w:spacing w:after="0" w:line="240" w:lineRule="auto"/>
              <w:jc w:val="both"/>
              <w:rPr>
                <w:rFonts w:ascii="Times New Roman" w:eastAsia="Times New Roman" w:hAnsi="Times New Roman" w:cs="Times New Roman"/>
                <w:color w:val="000000"/>
                <w:sz w:val="24"/>
                <w:szCs w:val="24"/>
                <w:lang w:eastAsia="fr-FR"/>
              </w:rPr>
            </w:pPr>
            <w:r w:rsidRPr="00DE70EB">
              <w:rPr>
                <w:rFonts w:ascii="Times New Roman" w:eastAsia="Times New Roman" w:hAnsi="Times New Roman" w:cs="Times New Roman"/>
                <w:color w:val="000000"/>
                <w:sz w:val="24"/>
                <w:szCs w:val="24"/>
                <w:lang w:eastAsia="fr-FR"/>
              </w:rPr>
              <w:t>Toutefois, si vous réservez des services de voyage supplémentaires au cours de la même visite de notre site internet de réservation/du site internet de réservation de XY, les services de voyage feront partie d'une prestation de voyage liée. Dans ce cas, XY dispose, comme l'exige le droit de l'Union européenne, d'une protection afin de rembourser les sommes que vous lui avez versées pour des services qui n'ont pas été exécutés en raison de son insolvabilité et, si nécessaire, pour votre rapatriement.</w:t>
            </w:r>
          </w:p>
          <w:p w:rsidR="00DE70EB" w:rsidRPr="00DE70EB" w:rsidRDefault="00DE70EB" w:rsidP="00DE70EB">
            <w:pPr>
              <w:spacing w:after="0" w:line="240" w:lineRule="auto"/>
              <w:jc w:val="both"/>
              <w:rPr>
                <w:rFonts w:ascii="Times New Roman" w:eastAsia="Times New Roman" w:hAnsi="Times New Roman" w:cs="Times New Roman"/>
                <w:color w:val="000000"/>
                <w:sz w:val="24"/>
                <w:szCs w:val="24"/>
                <w:lang w:eastAsia="fr-FR"/>
              </w:rPr>
            </w:pPr>
          </w:p>
          <w:p w:rsidR="00F76172" w:rsidRPr="00DE70EB" w:rsidRDefault="00F76172" w:rsidP="00DE70EB">
            <w:pPr>
              <w:spacing w:after="0" w:line="240" w:lineRule="auto"/>
              <w:jc w:val="both"/>
              <w:rPr>
                <w:rFonts w:ascii="Times New Roman" w:eastAsia="Times New Roman" w:hAnsi="Times New Roman" w:cs="Times New Roman"/>
                <w:color w:val="000000"/>
                <w:sz w:val="24"/>
                <w:szCs w:val="24"/>
                <w:lang w:eastAsia="fr-FR"/>
              </w:rPr>
            </w:pPr>
            <w:r w:rsidRPr="00DE70EB">
              <w:rPr>
                <w:rFonts w:ascii="Times New Roman" w:eastAsia="Times New Roman" w:hAnsi="Times New Roman" w:cs="Times New Roman"/>
                <w:color w:val="000000"/>
                <w:sz w:val="24"/>
                <w:szCs w:val="24"/>
                <w:lang w:eastAsia="fr-FR"/>
              </w:rPr>
              <w:t>Pour plus d'informations sur la protection contre l'insolvabilité [à fournir sous forme d'hyperlien].</w:t>
            </w:r>
          </w:p>
        </w:tc>
      </w:tr>
      <w:bookmarkEnd w:id="1"/>
    </w:tbl>
    <w:p w:rsidR="00DE70EB" w:rsidRDefault="00DE70EB" w:rsidP="00DE70EB">
      <w:pPr>
        <w:shd w:val="clear" w:color="auto" w:fill="FFFFFF"/>
        <w:spacing w:line="240" w:lineRule="auto"/>
        <w:rPr>
          <w:rFonts w:ascii="Times New Roman" w:eastAsia="Times New Roman" w:hAnsi="Times New Roman" w:cs="Times New Roman"/>
          <w:color w:val="000000"/>
          <w:lang w:eastAsia="fr-FR"/>
        </w:rPr>
      </w:pPr>
    </w:p>
    <w:p w:rsidR="00DE70EB" w:rsidRPr="00DE70EB" w:rsidRDefault="00DE70EB" w:rsidP="00DE70EB">
      <w:pPr>
        <w:shd w:val="clear" w:color="auto" w:fill="FFFFFF"/>
        <w:spacing w:line="240" w:lineRule="auto"/>
        <w:rPr>
          <w:rFonts w:ascii="Times New Roman" w:eastAsia="Times New Roman" w:hAnsi="Times New Roman" w:cs="Times New Roman"/>
          <w:color w:val="000000"/>
          <w:lang w:eastAsia="fr-FR"/>
        </w:rPr>
      </w:pPr>
    </w:p>
    <w:p w:rsidR="00F76172" w:rsidRPr="00DE70EB" w:rsidRDefault="00F76172" w:rsidP="00DE70EB">
      <w:pPr>
        <w:shd w:val="clear" w:color="auto" w:fill="FFFFFF"/>
        <w:spacing w:line="240" w:lineRule="auto"/>
        <w:rPr>
          <w:rFonts w:ascii="Times New Roman" w:eastAsia="Times New Roman" w:hAnsi="Times New Roman" w:cs="Times New Roman"/>
          <w:color w:val="000000"/>
          <w:u w:val="single"/>
          <w:lang w:eastAsia="fr-FR"/>
        </w:rPr>
      </w:pPr>
      <w:r w:rsidRPr="00DE70EB">
        <w:rPr>
          <w:rFonts w:ascii="Times New Roman" w:eastAsia="Times New Roman" w:hAnsi="Times New Roman" w:cs="Times New Roman"/>
          <w:color w:val="000000"/>
          <w:u w:val="single"/>
          <w:lang w:eastAsia="fr-FR"/>
        </w:rPr>
        <w:t>En cliquant sur l'hyperlien, le voyageur recevra les informations suivantes :</w:t>
      </w:r>
    </w:p>
    <w:p w:rsidR="00DE70EB" w:rsidRPr="00DE70EB" w:rsidRDefault="00DE70EB" w:rsidP="00DE70EB">
      <w:pPr>
        <w:shd w:val="clear" w:color="auto" w:fill="FFFFFF"/>
        <w:spacing w:line="240" w:lineRule="auto"/>
        <w:rPr>
          <w:rFonts w:ascii="Times New Roman" w:eastAsia="Times New Roman" w:hAnsi="Times New Roman" w:cs="Times New Roman"/>
          <w:color w:val="000000"/>
          <w:lang w:eastAsia="fr-FR"/>
        </w:rPr>
      </w:pP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 xml:space="preserve">XY a souscrit une protection contre l'insolvabilité auprès </w:t>
      </w:r>
      <w:proofErr w:type="gramStart"/>
      <w:r w:rsidRPr="00DE70EB">
        <w:rPr>
          <w:rFonts w:ascii="Times New Roman" w:eastAsia="Times New Roman" w:hAnsi="Times New Roman" w:cs="Times New Roman"/>
          <w:color w:val="000000"/>
          <w:lang w:eastAsia="fr-FR"/>
        </w:rPr>
        <w:t>de YZ</w:t>
      </w:r>
      <w:proofErr w:type="gramEnd"/>
      <w:r w:rsidRPr="00DE70EB">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d'assurances].</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Les voyageurs peuvent prendre contact avec cette entité (coordonnées du point de contact, y compris son nom, son adresse géographique, son adresse électronique et son numéro de téléphone) si les services leur sont refusés en raison de l'insolvabilité de XY.</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Remarque : cette protection contre l'insolvabilité ne s'applique pas aux contrats conclus avec des parties autres que XY qui peuvent être exécutés en dépit de l'insolvabilité de XY.</w:t>
      </w:r>
    </w:p>
    <w:p w:rsidR="00DE70EB" w:rsidRDefault="00DE70EB" w:rsidP="00DE70EB">
      <w:pPr>
        <w:shd w:val="clear" w:color="auto" w:fill="FFFFFF"/>
        <w:spacing w:line="240" w:lineRule="auto"/>
        <w:rPr>
          <w:rFonts w:ascii="Times New Roman" w:eastAsia="Times New Roman" w:hAnsi="Times New Roman" w:cs="Times New Roman"/>
          <w:color w:val="000000"/>
          <w:lang w:eastAsia="fr-FR"/>
        </w:rPr>
      </w:pPr>
    </w:p>
    <w:p w:rsidR="00DE70EB" w:rsidRPr="00DE70EB" w:rsidRDefault="00DE70EB" w:rsidP="00DE70EB">
      <w:pPr>
        <w:shd w:val="clear" w:color="auto" w:fill="FFFFFF"/>
        <w:spacing w:line="240" w:lineRule="auto"/>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Directive (UE) 2015/2302 transposée en droit national</w:t>
      </w:r>
      <w:r>
        <w:rPr>
          <w:rFonts w:ascii="Times New Roman" w:eastAsia="Times New Roman" w:hAnsi="Times New Roman" w:cs="Times New Roman"/>
          <w:color w:val="000000"/>
          <w:lang w:eastAsia="fr-FR"/>
        </w:rPr>
        <w:t xml:space="preserve"> : </w:t>
      </w:r>
      <w:hyperlink r:id="rId6" w:history="1">
        <w:r w:rsidRPr="00DE70EB">
          <w:rPr>
            <w:rStyle w:val="Lienhypertexte"/>
            <w:rFonts w:ascii="Times New Roman" w:eastAsia="Times New Roman" w:hAnsi="Times New Roman" w:cs="Times New Roman"/>
            <w:lang w:eastAsia="fr-FR"/>
          </w:rPr>
          <w:t>https://www.legifrance.gouv.fr/affichCodeArticle.do;jsessionid=B6B56671A51841699A8FB7B4B5EB08A2.tplgfr21s_1?idArticle=LEGIARTI000036242695&amp;cidTexte=LEGITEXT000006074073&amp;categorieLien=id&amp;dateTexte=20180701</w:t>
        </w:r>
      </w:hyperlink>
    </w:p>
    <w:p w:rsidR="00DE70EB" w:rsidRPr="00DE70EB" w:rsidRDefault="00DE70EB">
      <w:pPr>
        <w:rPr>
          <w:rFonts w:ascii="Times New Roman" w:eastAsia="Times New Roman" w:hAnsi="Times New Roman" w:cs="Times New Roman"/>
          <w:color w:val="000000"/>
          <w:sz w:val="29"/>
          <w:szCs w:val="29"/>
          <w:lang w:eastAsia="fr-FR"/>
        </w:rPr>
      </w:pPr>
      <w:r w:rsidRPr="00DE70EB">
        <w:rPr>
          <w:rFonts w:ascii="Times New Roman" w:eastAsia="Times New Roman" w:hAnsi="Times New Roman" w:cs="Times New Roman"/>
          <w:color w:val="000000"/>
          <w:sz w:val="29"/>
          <w:szCs w:val="29"/>
          <w:lang w:eastAsia="fr-FR"/>
        </w:rPr>
        <w:br w:type="page"/>
      </w:r>
    </w:p>
    <w:p w:rsidR="00F76172" w:rsidRDefault="00F76172" w:rsidP="00DE70E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DE70EB">
        <w:rPr>
          <w:rFonts w:ascii="Times New Roman" w:eastAsia="Times New Roman" w:hAnsi="Times New Roman" w:cs="Times New Roman"/>
          <w:b/>
          <w:color w:val="1F497D" w:themeColor="text2"/>
          <w:sz w:val="28"/>
          <w:szCs w:val="28"/>
          <w:lang w:eastAsia="fr-FR"/>
        </w:rPr>
        <w:lastRenderedPageBreak/>
        <w:t>Partie B</w:t>
      </w:r>
      <w:r w:rsidR="00DE70EB" w:rsidRPr="00DE70EB">
        <w:rPr>
          <w:rFonts w:ascii="Times New Roman" w:eastAsia="Times New Roman" w:hAnsi="Times New Roman" w:cs="Times New Roman"/>
          <w:b/>
          <w:color w:val="1F497D" w:themeColor="text2"/>
          <w:sz w:val="28"/>
          <w:szCs w:val="28"/>
          <w:lang w:eastAsia="fr-FR"/>
        </w:rPr>
        <w:t xml:space="preserve"> -</w:t>
      </w:r>
      <w:r w:rsidR="00DE70EB" w:rsidRPr="00DE70EB">
        <w:rPr>
          <w:rFonts w:ascii="Times New Roman" w:eastAsia="Times New Roman" w:hAnsi="Times New Roman" w:cs="Times New Roman"/>
          <w:b/>
          <w:color w:val="1F497D" w:themeColor="text2"/>
          <w:sz w:val="28"/>
          <w:szCs w:val="28"/>
          <w:lang w:eastAsia="fr-FR"/>
        </w:rPr>
        <w:tab/>
      </w:r>
      <w:r w:rsidRPr="00DE70EB">
        <w:rPr>
          <w:rFonts w:ascii="Times New Roman" w:eastAsia="Times New Roman" w:hAnsi="Times New Roman" w:cs="Times New Roman"/>
          <w:b/>
          <w:color w:val="1F497D" w:themeColor="text2"/>
          <w:sz w:val="28"/>
          <w:szCs w:val="28"/>
          <w:lang w:eastAsia="fr-FR"/>
        </w:rPr>
        <w:t>Formulaire d'information standard lorsque le professionnel facilitant une prestation de voyage liée en ligne au sens de l'article L. 211-2 III 1° du code du tourisme, est un professionnel autre qu'un transporteur vendant un billet aller-retour</w:t>
      </w:r>
    </w:p>
    <w:p w:rsidR="00DE70EB" w:rsidRPr="00DE70EB" w:rsidRDefault="00DE70EB" w:rsidP="00DE70EB">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p>
    <w:tbl>
      <w:tblPr>
        <w:tblW w:w="9200" w:type="dxa"/>
        <w:jc w:val="center"/>
        <w:tblInd w:w="36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200"/>
      </w:tblGrid>
      <w:tr w:rsidR="00DE70EB" w:rsidRPr="00DE70EB" w:rsidTr="00B7257B">
        <w:trPr>
          <w:jc w:val="center"/>
        </w:trPr>
        <w:tc>
          <w:tcPr>
            <w:tcW w:w="9200"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DE70EB" w:rsidRDefault="00F76172" w:rsidP="00DE70EB">
            <w:pPr>
              <w:spacing w:after="0" w:line="240" w:lineRule="auto"/>
              <w:jc w:val="both"/>
              <w:rPr>
                <w:rFonts w:ascii="Times New Roman" w:eastAsia="Times New Roman" w:hAnsi="Times New Roman" w:cs="Times New Roman"/>
                <w:sz w:val="24"/>
                <w:szCs w:val="24"/>
                <w:lang w:eastAsia="fr-FR"/>
              </w:rPr>
            </w:pPr>
            <w:bookmarkStart w:id="2" w:name="JORFARTI000036677184"/>
            <w:bookmarkEnd w:id="2"/>
            <w:r w:rsidRPr="00DE70EB">
              <w:rPr>
                <w:rFonts w:ascii="Times New Roman" w:eastAsia="Times New Roman" w:hAnsi="Times New Roman" w:cs="Times New Roman"/>
                <w:sz w:val="24"/>
                <w:szCs w:val="24"/>
                <w:lang w:eastAsia="fr-FR"/>
              </w:rPr>
              <w:t>Si, après avoir choisi un service de voyage et l'avoir payé, vous réservez des services de voyage supplémentaires pour votre voyage ou séjour de vacances par l'intermédiaire de notre entreprise/de XY, vous NE bénéficierez PAS des droits applicables aux forfaits au titre de la directive (UE) 2015/2302 et de l'article L.211-2 du code du tourisme.</w:t>
            </w:r>
          </w:p>
          <w:p w:rsidR="00DE70EB" w:rsidRDefault="00DE70EB" w:rsidP="00DE70EB">
            <w:pPr>
              <w:spacing w:after="0" w:line="240" w:lineRule="auto"/>
              <w:jc w:val="both"/>
              <w:rPr>
                <w:rFonts w:ascii="Times New Roman" w:eastAsia="Times New Roman" w:hAnsi="Times New Roman" w:cs="Times New Roman"/>
                <w:sz w:val="24"/>
                <w:szCs w:val="24"/>
                <w:lang w:eastAsia="fr-FR"/>
              </w:rPr>
            </w:pPr>
          </w:p>
          <w:p w:rsidR="00DE70EB" w:rsidRDefault="00F76172" w:rsidP="00DE70EB">
            <w:pPr>
              <w:spacing w:after="0" w:line="240" w:lineRule="auto"/>
              <w:jc w:val="both"/>
              <w:rPr>
                <w:rFonts w:ascii="Times New Roman" w:eastAsia="Times New Roman" w:hAnsi="Times New Roman" w:cs="Times New Roman"/>
                <w:sz w:val="24"/>
                <w:szCs w:val="24"/>
                <w:lang w:eastAsia="fr-FR"/>
              </w:rPr>
            </w:pPr>
            <w:r w:rsidRPr="00DE70EB">
              <w:rPr>
                <w:rFonts w:ascii="Times New Roman" w:eastAsia="Times New Roman" w:hAnsi="Times New Roman" w:cs="Times New Roman"/>
                <w:sz w:val="24"/>
                <w:szCs w:val="24"/>
                <w:lang w:eastAsia="fr-FR"/>
              </w:rPr>
              <w:t xml:space="preserve">Toutefois, si vous réservez des services de voyage supplémentaires au cours de la même visite de notre site internet de réservation/du site internet de réservation de XY, les services de voyage feront partie d'une prestation de voyage liée. Dans ce cas, XY dispose, comme l'exige le droit de l'Union européenne, d'une protection afin de rembourser les sommes que vous lui avez versées pour des services qui n'ont pas été exécutés en raison de son insolvabilité. </w:t>
            </w:r>
          </w:p>
          <w:p w:rsidR="00DE70EB" w:rsidRDefault="00DE70EB" w:rsidP="00DE70EB">
            <w:pPr>
              <w:spacing w:after="0" w:line="240" w:lineRule="auto"/>
              <w:jc w:val="both"/>
              <w:rPr>
                <w:rFonts w:ascii="Times New Roman" w:eastAsia="Times New Roman" w:hAnsi="Times New Roman" w:cs="Times New Roman"/>
                <w:sz w:val="24"/>
                <w:szCs w:val="24"/>
                <w:lang w:eastAsia="fr-FR"/>
              </w:rPr>
            </w:pPr>
          </w:p>
          <w:p w:rsidR="00F76172" w:rsidRPr="00DE70EB" w:rsidRDefault="00F76172" w:rsidP="00DE70EB">
            <w:pPr>
              <w:spacing w:after="0" w:line="240" w:lineRule="auto"/>
              <w:jc w:val="both"/>
              <w:rPr>
                <w:rFonts w:ascii="Times New Roman" w:eastAsia="Times New Roman" w:hAnsi="Times New Roman" w:cs="Times New Roman"/>
                <w:sz w:val="24"/>
                <w:szCs w:val="24"/>
                <w:lang w:eastAsia="fr-FR"/>
              </w:rPr>
            </w:pPr>
            <w:r w:rsidRPr="00DE70EB">
              <w:rPr>
                <w:rFonts w:ascii="Times New Roman" w:eastAsia="Times New Roman" w:hAnsi="Times New Roman" w:cs="Times New Roman"/>
                <w:sz w:val="24"/>
                <w:szCs w:val="24"/>
                <w:lang w:eastAsia="fr-FR"/>
              </w:rPr>
              <w:t>Pour plus d'informations sur la protection contre l'insolvabilité [à fournir sous forme d'hyperlien].</w:t>
            </w:r>
          </w:p>
        </w:tc>
      </w:tr>
    </w:tbl>
    <w:p w:rsidR="00DE70EB" w:rsidRPr="00DE70EB" w:rsidRDefault="00DE70EB" w:rsidP="00DE70EB">
      <w:pPr>
        <w:shd w:val="clear" w:color="auto" w:fill="FFFFFF"/>
        <w:spacing w:line="240" w:lineRule="auto"/>
        <w:rPr>
          <w:rFonts w:ascii="Times New Roman" w:eastAsia="Times New Roman" w:hAnsi="Times New Roman" w:cs="Times New Roman"/>
          <w:color w:val="000000"/>
          <w:lang w:eastAsia="fr-FR"/>
        </w:rPr>
      </w:pPr>
    </w:p>
    <w:p w:rsidR="00DE70EB" w:rsidRPr="00DE70EB" w:rsidRDefault="00F76172" w:rsidP="00B7257B">
      <w:pPr>
        <w:shd w:val="clear" w:color="auto" w:fill="FFFFFF"/>
        <w:spacing w:line="240" w:lineRule="auto"/>
        <w:jc w:val="both"/>
        <w:rPr>
          <w:rFonts w:ascii="Times New Roman" w:eastAsia="Times New Roman" w:hAnsi="Times New Roman" w:cs="Times New Roman"/>
          <w:color w:val="000000"/>
          <w:u w:val="single"/>
          <w:lang w:eastAsia="fr-FR"/>
        </w:rPr>
      </w:pPr>
      <w:r w:rsidRPr="00DE70EB">
        <w:rPr>
          <w:rFonts w:ascii="Times New Roman" w:eastAsia="Times New Roman" w:hAnsi="Times New Roman" w:cs="Times New Roman"/>
          <w:color w:val="000000"/>
          <w:u w:val="single"/>
          <w:lang w:eastAsia="fr-FR"/>
        </w:rPr>
        <w:t>En cliquant sur l'hyperlien, le voyageur recevra les informations suivantes :</w:t>
      </w:r>
      <w:r w:rsidR="00DE70EB" w:rsidRPr="00DE70EB">
        <w:rPr>
          <w:rFonts w:ascii="Times New Roman" w:eastAsia="Times New Roman" w:hAnsi="Times New Roman" w:cs="Times New Roman"/>
          <w:color w:val="000000"/>
          <w:u w:val="single"/>
          <w:lang w:eastAsia="fr-FR"/>
        </w:rPr>
        <w:t xml:space="preserve"> </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 xml:space="preserve">XY a souscrit une protection contre l'insolvabilité auprès </w:t>
      </w:r>
      <w:proofErr w:type="gramStart"/>
      <w:r w:rsidRPr="00DE70EB">
        <w:rPr>
          <w:rFonts w:ascii="Times New Roman" w:eastAsia="Times New Roman" w:hAnsi="Times New Roman" w:cs="Times New Roman"/>
          <w:color w:val="000000"/>
          <w:lang w:eastAsia="fr-FR"/>
        </w:rPr>
        <w:t>de YZ</w:t>
      </w:r>
      <w:proofErr w:type="gramEnd"/>
      <w:r w:rsidRPr="00DE70EB">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d'assurances].</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Les voyageurs peuvent prendre contact avec cette entité (coordonnées du point de contact, y compris son nom, son adresse géographique, son adresse électronique et son numéro de téléphone) si les services leur sont refusés en raison de l'insolvabilité de XY.</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r w:rsidRPr="00DE70EB">
        <w:rPr>
          <w:rFonts w:ascii="Times New Roman" w:eastAsia="Times New Roman" w:hAnsi="Times New Roman" w:cs="Times New Roman"/>
          <w:color w:val="000000"/>
          <w:lang w:eastAsia="fr-FR"/>
        </w:rPr>
        <w:t>Remarque : cette protection contre l'insolvabilité ne s'applique pas aux contrats conclus avec des parties autres que XY qui peuvent être exécutés en dépit de l'insolvabilité de XY.</w:t>
      </w:r>
    </w:p>
    <w:p w:rsidR="00DE70EB" w:rsidRDefault="00DE70EB" w:rsidP="00B7257B">
      <w:pPr>
        <w:shd w:val="clear" w:color="auto" w:fill="FFFFFF"/>
        <w:spacing w:line="240" w:lineRule="auto"/>
        <w:jc w:val="both"/>
        <w:rPr>
          <w:rFonts w:ascii="Times New Roman" w:eastAsia="Times New Roman" w:hAnsi="Times New Roman" w:cs="Times New Roman"/>
          <w:color w:val="000000"/>
          <w:lang w:eastAsia="fr-FR"/>
        </w:rPr>
      </w:pPr>
    </w:p>
    <w:p w:rsidR="00F76172" w:rsidRPr="00151138" w:rsidRDefault="00DE70EB" w:rsidP="00DE70EB">
      <w:pPr>
        <w:shd w:val="clear" w:color="auto" w:fill="FFFFFF"/>
        <w:spacing w:line="240" w:lineRule="auto"/>
        <w:rPr>
          <w:rStyle w:val="Lienhypertexte"/>
          <w:rFonts w:ascii="Times New Roman" w:hAnsi="Times New Roman" w:cs="Times New Roman"/>
        </w:rPr>
      </w:pPr>
      <w:r w:rsidRPr="00DE70EB">
        <w:rPr>
          <w:rFonts w:ascii="Times New Roman" w:eastAsia="Times New Roman" w:hAnsi="Times New Roman" w:cs="Times New Roman"/>
          <w:color w:val="000000"/>
          <w:lang w:eastAsia="fr-FR"/>
        </w:rPr>
        <w:t>Directive (UE) 2015/2302 transposée en droit national</w:t>
      </w:r>
      <w:r>
        <w:rPr>
          <w:rFonts w:ascii="Times New Roman" w:eastAsia="Times New Roman" w:hAnsi="Times New Roman" w:cs="Times New Roman"/>
          <w:color w:val="000000"/>
          <w:lang w:eastAsia="fr-FR"/>
        </w:rPr>
        <w:t xml:space="preserve"> : </w:t>
      </w:r>
      <w:hyperlink r:id="rId7" w:history="1">
        <w:r w:rsidRPr="00151138">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p>
    <w:p w:rsidR="00DE70EB" w:rsidRDefault="00DE70EB">
      <w:pPr>
        <w:rPr>
          <w:rFonts w:ascii="Times New Roman" w:eastAsia="Times New Roman" w:hAnsi="Times New Roman" w:cs="Times New Roman"/>
          <w:color w:val="336699"/>
          <w:u w:val="single"/>
          <w:lang w:eastAsia="fr-FR"/>
        </w:rPr>
      </w:pPr>
      <w:r>
        <w:rPr>
          <w:rFonts w:ascii="Times New Roman" w:eastAsia="Times New Roman" w:hAnsi="Times New Roman" w:cs="Times New Roman"/>
          <w:color w:val="336699"/>
          <w:u w:val="single"/>
          <w:lang w:eastAsia="fr-FR"/>
        </w:rPr>
        <w:br w:type="page"/>
      </w:r>
    </w:p>
    <w:p w:rsidR="00F76172" w:rsidRDefault="00F76172"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151138">
        <w:rPr>
          <w:rFonts w:ascii="Times New Roman" w:eastAsia="Times New Roman" w:hAnsi="Times New Roman" w:cs="Times New Roman"/>
          <w:b/>
          <w:color w:val="1F497D" w:themeColor="text2"/>
          <w:sz w:val="28"/>
          <w:szCs w:val="28"/>
          <w:lang w:eastAsia="fr-FR"/>
        </w:rPr>
        <w:lastRenderedPageBreak/>
        <w:t xml:space="preserve">Partie C </w:t>
      </w:r>
      <w:r w:rsidR="00DE70EB" w:rsidRPr="00151138">
        <w:rPr>
          <w:rFonts w:ascii="Times New Roman" w:eastAsia="Times New Roman" w:hAnsi="Times New Roman" w:cs="Times New Roman"/>
          <w:b/>
          <w:color w:val="1F497D" w:themeColor="text2"/>
          <w:sz w:val="28"/>
          <w:szCs w:val="28"/>
          <w:lang w:eastAsia="fr-FR"/>
        </w:rPr>
        <w:t>-</w:t>
      </w:r>
      <w:r w:rsidR="00DE70EB" w:rsidRPr="00151138">
        <w:rPr>
          <w:rFonts w:ascii="Times New Roman" w:eastAsia="Times New Roman" w:hAnsi="Times New Roman" w:cs="Times New Roman"/>
          <w:b/>
          <w:color w:val="1F497D" w:themeColor="text2"/>
          <w:sz w:val="28"/>
          <w:szCs w:val="28"/>
          <w:lang w:eastAsia="fr-FR"/>
        </w:rPr>
        <w:tab/>
      </w:r>
      <w:r w:rsidRPr="00151138">
        <w:rPr>
          <w:rFonts w:ascii="Times New Roman" w:eastAsia="Times New Roman" w:hAnsi="Times New Roman" w:cs="Times New Roman"/>
          <w:b/>
          <w:color w:val="1F497D" w:themeColor="text2"/>
          <w:sz w:val="28"/>
          <w:szCs w:val="28"/>
          <w:lang w:eastAsia="fr-FR"/>
        </w:rPr>
        <w:t>Formulaire d'information standard en cas de prestations de voyage liées au sens de l'article L. 211-2 III 1° du code du tourisme, lorsque les contrats sont conclus en présence simultanée du professionnel (autre qu'un transporteur vendant un billet aller-retour) et du voyageur</w:t>
      </w:r>
    </w:p>
    <w:p w:rsidR="00151138" w:rsidRPr="00151138" w:rsidRDefault="00151138"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p>
    <w:tbl>
      <w:tblPr>
        <w:tblW w:w="9072" w:type="dxa"/>
        <w:tblInd w:w="75"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72"/>
      </w:tblGrid>
      <w:tr w:rsidR="00F76172" w:rsidRPr="00DE70EB" w:rsidTr="00151138">
        <w:tc>
          <w:tcPr>
            <w:tcW w:w="9072"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DE70EB" w:rsidRPr="00DE70EB" w:rsidRDefault="00F76172" w:rsidP="00F30B31">
            <w:pPr>
              <w:spacing w:after="0" w:line="240" w:lineRule="auto"/>
              <w:jc w:val="both"/>
              <w:rPr>
                <w:rFonts w:ascii="Times New Roman" w:eastAsia="Times New Roman" w:hAnsi="Times New Roman" w:cs="Times New Roman"/>
                <w:color w:val="000000"/>
                <w:sz w:val="24"/>
                <w:szCs w:val="24"/>
                <w:lang w:eastAsia="fr-FR"/>
              </w:rPr>
            </w:pPr>
            <w:bookmarkStart w:id="3" w:name="JORFARTI000036677186"/>
            <w:bookmarkEnd w:id="3"/>
            <w:r w:rsidRPr="00DE70EB">
              <w:rPr>
                <w:rFonts w:ascii="Times New Roman" w:eastAsia="Times New Roman" w:hAnsi="Times New Roman" w:cs="Times New Roman"/>
                <w:color w:val="000000"/>
                <w:sz w:val="24"/>
                <w:szCs w:val="24"/>
                <w:lang w:eastAsia="fr-FR"/>
              </w:rPr>
              <w:t>Si, après avoir choisi un service de voyage et l'avoir payé, vous réservez des services de voyage supplémentaires pour votre voyage ou séjour de vacances par l'intermédiaire de notre entreprise/de XY, vous NE bénéficierez PAS des droits applicables aux forfaits au titre de la directive (UE) 2015/2302 et de l'article L.211-2 du code du tourisme.</w:t>
            </w:r>
          </w:p>
          <w:p w:rsidR="00DE70EB" w:rsidRPr="00DE70EB" w:rsidRDefault="00DE70EB" w:rsidP="00F76172">
            <w:pPr>
              <w:spacing w:after="0" w:line="240" w:lineRule="auto"/>
              <w:rPr>
                <w:rFonts w:ascii="Times New Roman" w:eastAsia="Times New Roman" w:hAnsi="Times New Roman" w:cs="Times New Roman"/>
                <w:color w:val="000000"/>
                <w:sz w:val="24"/>
                <w:szCs w:val="24"/>
                <w:lang w:eastAsia="fr-FR"/>
              </w:rPr>
            </w:pPr>
          </w:p>
          <w:p w:rsidR="00F76172" w:rsidRPr="00DE70EB" w:rsidRDefault="00F76172" w:rsidP="00F30B31">
            <w:pPr>
              <w:spacing w:after="0" w:line="240" w:lineRule="auto"/>
              <w:jc w:val="both"/>
              <w:rPr>
                <w:rFonts w:ascii="Times New Roman" w:eastAsia="Times New Roman" w:hAnsi="Times New Roman" w:cs="Times New Roman"/>
                <w:color w:val="000000"/>
                <w:sz w:val="24"/>
                <w:szCs w:val="24"/>
                <w:lang w:eastAsia="fr-FR"/>
              </w:rPr>
            </w:pPr>
            <w:r w:rsidRPr="00DE70EB">
              <w:rPr>
                <w:rFonts w:ascii="Times New Roman" w:eastAsia="Times New Roman" w:hAnsi="Times New Roman" w:cs="Times New Roman"/>
                <w:color w:val="000000"/>
                <w:sz w:val="24"/>
                <w:szCs w:val="24"/>
                <w:lang w:eastAsia="fr-FR"/>
              </w:rPr>
              <w:t>Toutefois, si vous réservez des services de voyage supplémentaires au cours de la même visite ou du même contact avec notre entreprise/l'entreprise XY, les services de voyage feront partie d'une prestation de voyage liée. Dans ce cas, XY dispose, comme l'exige le droit de l'Union européenne, d'une protection afin de rembourser les sommes que vous lui avez versées pour des services qui n'ont pas été exécutés en raison de son insolvabilité.</w:t>
            </w:r>
          </w:p>
        </w:tc>
      </w:tr>
    </w:tbl>
    <w:p w:rsidR="00B7257B" w:rsidRPr="00B7257B" w:rsidRDefault="00B7257B" w:rsidP="00B7257B">
      <w:pPr>
        <w:shd w:val="clear" w:color="auto" w:fill="FFFFFF"/>
        <w:spacing w:line="240" w:lineRule="auto"/>
        <w:ind w:left="360"/>
        <w:rPr>
          <w:rFonts w:ascii="Times New Roman" w:eastAsia="Times New Roman" w:hAnsi="Times New Roman" w:cs="Times New Roman"/>
          <w:vanish/>
          <w:color w:val="000000"/>
          <w:szCs w:val="19"/>
          <w:lang w:eastAsia="fr-FR"/>
        </w:rPr>
      </w:pPr>
    </w:p>
    <w:tbl>
      <w:tblPr>
        <w:tblW w:w="0" w:type="auto"/>
        <w:tblInd w:w="75"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Layout w:type="fixed"/>
        <w:tblCellMar>
          <w:left w:w="0" w:type="dxa"/>
          <w:right w:w="0" w:type="dxa"/>
        </w:tblCellMar>
        <w:tblLook w:val="04A0" w:firstRow="1" w:lastRow="0" w:firstColumn="1" w:lastColumn="0" w:noHBand="0" w:noVBand="1"/>
      </w:tblPr>
      <w:tblGrid>
        <w:gridCol w:w="9072"/>
      </w:tblGrid>
      <w:tr w:rsidR="00F76172" w:rsidRPr="00151138" w:rsidTr="00B7257B">
        <w:tc>
          <w:tcPr>
            <w:tcW w:w="9072"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 xml:space="preserve">XY a souscrit une protection contre l'insolvabilité auprès </w:t>
            </w:r>
            <w:proofErr w:type="gramStart"/>
            <w:r w:rsidRPr="00151138">
              <w:rPr>
                <w:rFonts w:ascii="Times New Roman" w:eastAsia="Times New Roman" w:hAnsi="Times New Roman" w:cs="Times New Roman"/>
                <w:color w:val="000000"/>
                <w:sz w:val="24"/>
                <w:szCs w:val="24"/>
                <w:lang w:eastAsia="fr-FR"/>
              </w:rPr>
              <w:t>de YZ</w:t>
            </w:r>
            <w:proofErr w:type="gramEnd"/>
            <w:r w:rsidRPr="00151138">
              <w:rPr>
                <w:rFonts w:ascii="Times New Roman" w:eastAsia="Times New Roman" w:hAnsi="Times New Roman" w:cs="Times New Roman"/>
                <w:color w:val="000000"/>
                <w:sz w:val="24"/>
                <w:szCs w:val="24"/>
                <w:lang w:eastAsia="fr-FR"/>
              </w:rPr>
              <w:t xml:space="preserve"> [l'entité chargée de la protection contre l'insolvabilité, par exemple un fonds de garantie ou une compagnie d'assurances].</w:t>
            </w:r>
          </w:p>
          <w:p w:rsidR="00151138" w:rsidRDefault="00151138" w:rsidP="00F76172">
            <w:pPr>
              <w:spacing w:after="0" w:line="240" w:lineRule="auto"/>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Les voyageurs peuvent prendre contact avec cette entité (coordonnées du point de contact, y compris son nom, son adresse géographique, son adresse électronique et non numéro de téléphone) si les services de voyage leur sont refusés en raison de l'insolvabilité de XY.</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Remarque : cette protection contre l'insolvabilité ne s'applique pas aux contrats conclus avec des parties autres que XY qui peuvent être exécutés en dépit de l'insolvabilité de XY.</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F76172" w:rsidRP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[Site internet sur lequel on peut consulter la directive (UE) 2015/2302 transposée en droit national</w:t>
            </w:r>
            <w:r w:rsidR="00151138">
              <w:rPr>
                <w:rFonts w:ascii="Times New Roman" w:eastAsia="Times New Roman" w:hAnsi="Times New Roman" w:cs="Times New Roman"/>
                <w:color w:val="000000"/>
                <w:sz w:val="24"/>
                <w:szCs w:val="24"/>
                <w:lang w:eastAsia="fr-FR"/>
              </w:rPr>
              <w:t xml:space="preserve"> : </w:t>
            </w:r>
            <w:hyperlink r:id="rId8" w:history="1">
              <w:r w:rsidRPr="00151138">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r w:rsidRPr="00151138">
              <w:rPr>
                <w:rFonts w:ascii="Times New Roman" w:eastAsia="Times New Roman" w:hAnsi="Times New Roman" w:cs="Times New Roman"/>
                <w:color w:val="000000"/>
                <w:sz w:val="24"/>
                <w:szCs w:val="24"/>
                <w:lang w:eastAsia="fr-FR"/>
              </w:rPr>
              <w:t>].</w:t>
            </w:r>
          </w:p>
        </w:tc>
      </w:tr>
    </w:tbl>
    <w:p w:rsidR="00151138" w:rsidRDefault="00151138" w:rsidP="00F76172">
      <w:pPr>
        <w:shd w:val="clear" w:color="auto" w:fill="FFFFFF"/>
        <w:spacing w:before="100" w:beforeAutospacing="1" w:after="100" w:afterAutospacing="1" w:line="240" w:lineRule="auto"/>
        <w:ind w:left="360"/>
        <w:rPr>
          <w:rFonts w:ascii="Times New Roman" w:eastAsia="Times New Roman" w:hAnsi="Times New Roman" w:cs="Times New Roman"/>
          <w:color w:val="000000"/>
          <w:sz w:val="29"/>
          <w:szCs w:val="29"/>
          <w:lang w:eastAsia="fr-FR"/>
        </w:rPr>
      </w:pPr>
    </w:p>
    <w:p w:rsidR="00151138" w:rsidRDefault="00151138">
      <w:pPr>
        <w:rPr>
          <w:rFonts w:ascii="Times New Roman" w:eastAsia="Times New Roman" w:hAnsi="Times New Roman" w:cs="Times New Roman"/>
          <w:color w:val="000000"/>
          <w:sz w:val="29"/>
          <w:szCs w:val="29"/>
          <w:lang w:eastAsia="fr-FR"/>
        </w:rPr>
      </w:pPr>
      <w:r>
        <w:rPr>
          <w:rFonts w:ascii="Times New Roman" w:eastAsia="Times New Roman" w:hAnsi="Times New Roman" w:cs="Times New Roman"/>
          <w:color w:val="000000"/>
          <w:sz w:val="29"/>
          <w:szCs w:val="29"/>
          <w:lang w:eastAsia="fr-FR"/>
        </w:rPr>
        <w:br w:type="page"/>
      </w:r>
    </w:p>
    <w:p w:rsidR="00F76172" w:rsidRDefault="00F76172"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151138">
        <w:rPr>
          <w:rFonts w:ascii="Times New Roman" w:eastAsia="Times New Roman" w:hAnsi="Times New Roman" w:cs="Times New Roman"/>
          <w:b/>
          <w:color w:val="1F497D" w:themeColor="text2"/>
          <w:sz w:val="28"/>
          <w:szCs w:val="28"/>
          <w:lang w:eastAsia="fr-FR"/>
        </w:rPr>
        <w:lastRenderedPageBreak/>
        <w:t xml:space="preserve">Partie D </w:t>
      </w:r>
      <w:r w:rsidR="00151138" w:rsidRPr="00151138">
        <w:rPr>
          <w:rFonts w:ascii="Times New Roman" w:eastAsia="Times New Roman" w:hAnsi="Times New Roman" w:cs="Times New Roman"/>
          <w:b/>
          <w:color w:val="1F497D" w:themeColor="text2"/>
          <w:sz w:val="28"/>
          <w:szCs w:val="28"/>
          <w:lang w:eastAsia="fr-FR"/>
        </w:rPr>
        <w:t>-</w:t>
      </w:r>
      <w:r w:rsidR="00151138" w:rsidRPr="00151138">
        <w:rPr>
          <w:rFonts w:ascii="Times New Roman" w:eastAsia="Times New Roman" w:hAnsi="Times New Roman" w:cs="Times New Roman"/>
          <w:b/>
          <w:color w:val="1F497D" w:themeColor="text2"/>
          <w:sz w:val="28"/>
          <w:szCs w:val="28"/>
          <w:lang w:eastAsia="fr-FR"/>
        </w:rPr>
        <w:tab/>
      </w:r>
      <w:r w:rsidRPr="00151138">
        <w:rPr>
          <w:rFonts w:ascii="Times New Roman" w:eastAsia="Times New Roman" w:hAnsi="Times New Roman" w:cs="Times New Roman"/>
          <w:b/>
          <w:color w:val="1F497D" w:themeColor="text2"/>
          <w:sz w:val="28"/>
          <w:szCs w:val="28"/>
          <w:lang w:eastAsia="fr-FR"/>
        </w:rPr>
        <w:t>Formulaire d'information standard lorsque le professionnel facilitant une prestation de voyage liée en ligne au sens de l'article L. 211-2 III 2° du code du tourisme, est un transporteur vendant un billet aller-retour</w:t>
      </w:r>
    </w:p>
    <w:p w:rsidR="00151138" w:rsidRPr="00151138" w:rsidRDefault="00151138"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p>
    <w:tbl>
      <w:tblPr>
        <w:tblW w:w="9072" w:type="dxa"/>
        <w:tblInd w:w="75"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9072"/>
      </w:tblGrid>
      <w:tr w:rsidR="00F76172" w:rsidRPr="00151138" w:rsidTr="00151138">
        <w:tc>
          <w:tcPr>
            <w:tcW w:w="9072" w:type="dxa"/>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bookmarkStart w:id="4" w:name="JORFARTI000036677188"/>
            <w:bookmarkEnd w:id="4"/>
            <w:r w:rsidRPr="00151138">
              <w:rPr>
                <w:rFonts w:ascii="Times New Roman" w:eastAsia="Times New Roman" w:hAnsi="Times New Roman" w:cs="Times New Roman"/>
                <w:color w:val="000000"/>
                <w:sz w:val="24"/>
                <w:szCs w:val="24"/>
                <w:lang w:eastAsia="fr-FR"/>
              </w:rPr>
              <w:t>Si vous réservez des services de voyage supplémentaires pour votre voyage ou séjour de vacances via ce lien/ces liens, vous NE bénéficierez PAS des droits applicables aux forfaits au titre de la directive (UE) 2015/2302 et de l'article L. 211-2 du code du tourisme.</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Notre entreprise/XY ne sera pas responsable de la bonne exécution de ces services de voyage supplémentaires. En cas de problème, veuillez contacter le prestataire de services concerné.</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Toutefois, si vous réservez des services de voyage supplémentaires via ce lien/ces liens dans un délai de 24 heures après avoir reçu confirmation de la réservation de la part de notre entreprise/XY, ces services de voyage feront partie d'une prestation de voyage liée. Dans ce cas, XY dispose, comme l'exige le droit de l'Union européenne, d'une protection afin de rembourser les sommes que vous lui avez versées pour des services qui n'ont pas été exécutés en raison de son insolvabilité, et, si nécessaire, pour votre rapatriement. Veuillez noter qu'en l'occurrence, il n'est pas prévu de remboursement en cas d'insolvabilité du prestataire de services supplémentaires concerné.</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F76172" w:rsidRP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Pour plus d'informations sur la protection contre l'insolvabilité [à fournir sous forme d'hyperlien].</w:t>
            </w:r>
          </w:p>
        </w:tc>
      </w:tr>
    </w:tbl>
    <w:p w:rsidR="00151138" w:rsidRDefault="00151138" w:rsidP="00151138">
      <w:pPr>
        <w:shd w:val="clear" w:color="auto" w:fill="FFFFFF"/>
        <w:spacing w:line="240" w:lineRule="auto"/>
        <w:rPr>
          <w:rFonts w:ascii="Times New Roman" w:eastAsia="Times New Roman" w:hAnsi="Times New Roman" w:cs="Times New Roman"/>
          <w:color w:val="000000"/>
          <w:sz w:val="19"/>
          <w:szCs w:val="19"/>
          <w:lang w:eastAsia="fr-FR"/>
        </w:rPr>
      </w:pPr>
    </w:p>
    <w:p w:rsidR="00151138" w:rsidRPr="00151138" w:rsidRDefault="00F76172" w:rsidP="00151138">
      <w:pPr>
        <w:shd w:val="clear" w:color="auto" w:fill="FFFFFF"/>
        <w:spacing w:line="240" w:lineRule="auto"/>
        <w:jc w:val="both"/>
        <w:rPr>
          <w:rFonts w:ascii="Times New Roman" w:eastAsia="Times New Roman" w:hAnsi="Times New Roman" w:cs="Times New Roman"/>
          <w:color w:val="000000"/>
          <w:u w:val="single"/>
          <w:lang w:eastAsia="fr-FR"/>
        </w:rPr>
      </w:pPr>
      <w:r w:rsidRPr="00151138">
        <w:rPr>
          <w:rFonts w:ascii="Times New Roman" w:eastAsia="Times New Roman" w:hAnsi="Times New Roman" w:cs="Times New Roman"/>
          <w:color w:val="000000"/>
          <w:u w:val="single"/>
          <w:lang w:eastAsia="fr-FR"/>
        </w:rPr>
        <w:t>En cliquant sur l'hyperlien, le voyageur recevra les informations suivantes :</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 xml:space="preserve">XY a souscrit une protection contre l'insolvabilité auprès </w:t>
      </w:r>
      <w:proofErr w:type="gramStart"/>
      <w:r w:rsidRPr="00151138">
        <w:rPr>
          <w:rFonts w:ascii="Times New Roman" w:eastAsia="Times New Roman" w:hAnsi="Times New Roman" w:cs="Times New Roman"/>
          <w:color w:val="000000"/>
          <w:lang w:eastAsia="fr-FR"/>
        </w:rPr>
        <w:t>de YZ</w:t>
      </w:r>
      <w:proofErr w:type="gramEnd"/>
      <w:r w:rsidRPr="00151138">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d'assurances].</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Les voyageurs peuvent prendre contact avec cette entité (coordonnées du point de contact, y compris son nom, son adresse géographique, son adresse électronique et son numéro de téléphone) si les services leur sont refusés en raison de l'insolvabilité de XY.</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Remarque : cette protection contre l'insolvabilité ne s'applique pas aux contrats conclus avec des parties autres que XY qui peuvent être exécutés en dépit de l'insolvabilité de XY.</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p>
    <w:p w:rsidR="00151138" w:rsidRDefault="00151138" w:rsidP="00151138">
      <w:pPr>
        <w:shd w:val="clear" w:color="auto" w:fill="FFFFFF"/>
        <w:spacing w:after="0"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Directive (UE) 2015/2302 transposée en droit national</w:t>
      </w:r>
      <w:r>
        <w:rPr>
          <w:rFonts w:ascii="Times New Roman" w:eastAsia="Times New Roman" w:hAnsi="Times New Roman" w:cs="Times New Roman"/>
          <w:color w:val="000000"/>
          <w:lang w:eastAsia="fr-FR"/>
        </w:rPr>
        <w:t xml:space="preserve"> : </w:t>
      </w:r>
    </w:p>
    <w:p w:rsidR="00F76172" w:rsidRPr="00151138" w:rsidRDefault="00151138" w:rsidP="00151138">
      <w:pPr>
        <w:shd w:val="clear" w:color="auto" w:fill="FFFFFF"/>
        <w:spacing w:after="0" w:line="240" w:lineRule="auto"/>
        <w:jc w:val="both"/>
        <w:rPr>
          <w:rStyle w:val="Lienhypertexte"/>
          <w:rFonts w:ascii="Times New Roman" w:hAnsi="Times New Roman" w:cs="Times New Roman"/>
        </w:rPr>
      </w:pPr>
      <w:hyperlink r:id="rId9" w:history="1">
        <w:r w:rsidRPr="00151138">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p>
    <w:p w:rsidR="00151138" w:rsidRDefault="00151138">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br w:type="page"/>
      </w:r>
    </w:p>
    <w:p w:rsidR="00F76172" w:rsidRDefault="00F76172"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r w:rsidRPr="00151138">
        <w:rPr>
          <w:rFonts w:ascii="Times New Roman" w:eastAsia="Times New Roman" w:hAnsi="Times New Roman" w:cs="Times New Roman"/>
          <w:b/>
          <w:color w:val="1F497D" w:themeColor="text2"/>
          <w:sz w:val="28"/>
          <w:szCs w:val="28"/>
          <w:lang w:eastAsia="fr-FR"/>
        </w:rPr>
        <w:lastRenderedPageBreak/>
        <w:t xml:space="preserve">Partie E </w:t>
      </w:r>
      <w:r w:rsidR="00151138" w:rsidRPr="00151138">
        <w:rPr>
          <w:rFonts w:ascii="Times New Roman" w:eastAsia="Times New Roman" w:hAnsi="Times New Roman" w:cs="Times New Roman"/>
          <w:b/>
          <w:color w:val="1F497D" w:themeColor="text2"/>
          <w:sz w:val="28"/>
          <w:szCs w:val="28"/>
          <w:lang w:eastAsia="fr-FR"/>
        </w:rPr>
        <w:t>-</w:t>
      </w:r>
      <w:r w:rsidR="00151138" w:rsidRPr="00151138">
        <w:rPr>
          <w:rFonts w:ascii="Times New Roman" w:eastAsia="Times New Roman" w:hAnsi="Times New Roman" w:cs="Times New Roman"/>
          <w:b/>
          <w:color w:val="1F497D" w:themeColor="text2"/>
          <w:sz w:val="28"/>
          <w:szCs w:val="28"/>
          <w:lang w:eastAsia="fr-FR"/>
        </w:rPr>
        <w:tab/>
      </w:r>
      <w:r w:rsidRPr="00151138">
        <w:rPr>
          <w:rFonts w:ascii="Times New Roman" w:eastAsia="Times New Roman" w:hAnsi="Times New Roman" w:cs="Times New Roman"/>
          <w:b/>
          <w:color w:val="1F497D" w:themeColor="text2"/>
          <w:sz w:val="28"/>
          <w:szCs w:val="28"/>
          <w:lang w:eastAsia="fr-FR"/>
        </w:rPr>
        <w:t>Formulaire d'information standard lorsque le professionnel facilitant une prestation de voyage liée en ligne au sens de l'article L. 211-2 III 2° du code du tourisme, est un professionnel autre qu'un transporteur vendant un billet aller-retour</w:t>
      </w:r>
    </w:p>
    <w:p w:rsidR="00151138" w:rsidRPr="00151138" w:rsidRDefault="00151138" w:rsidP="00151138">
      <w:pPr>
        <w:shd w:val="clear" w:color="auto" w:fill="FFFFFF"/>
        <w:spacing w:after="0" w:line="240" w:lineRule="auto"/>
        <w:ind w:left="1410" w:hanging="1410"/>
        <w:jc w:val="both"/>
        <w:rPr>
          <w:rFonts w:ascii="Times New Roman" w:eastAsia="Times New Roman" w:hAnsi="Times New Roman" w:cs="Times New Roman"/>
          <w:b/>
          <w:color w:val="1F497D" w:themeColor="text2"/>
          <w:sz w:val="28"/>
          <w:szCs w:val="28"/>
          <w:lang w:eastAsia="fr-FR"/>
        </w:rPr>
      </w:pPr>
    </w:p>
    <w:tbl>
      <w:tblPr>
        <w:tblW w:w="0" w:type="auto"/>
        <w:jc w:val="center"/>
        <w:tblInd w:w="360" w:type="dxa"/>
        <w:tblBorders>
          <w:top w:val="single" w:sz="12" w:space="0" w:color="0909B0"/>
          <w:left w:val="single" w:sz="12" w:space="0" w:color="0909B0"/>
          <w:bottom w:val="single" w:sz="12" w:space="0" w:color="0909B0"/>
          <w:right w:val="single" w:sz="12" w:space="0" w:color="0909B0"/>
        </w:tblBorders>
        <w:shd w:val="clear" w:color="auto" w:fill="DBE5F1" w:themeFill="accent1" w:themeFillTint="33"/>
        <w:tblCellMar>
          <w:left w:w="0" w:type="dxa"/>
          <w:right w:w="0" w:type="dxa"/>
        </w:tblCellMar>
        <w:tblLook w:val="04A0" w:firstRow="1" w:lastRow="0" w:firstColumn="1" w:lastColumn="0" w:noHBand="0" w:noVBand="1"/>
      </w:tblPr>
      <w:tblGrid>
        <w:gridCol w:w="8862"/>
      </w:tblGrid>
      <w:tr w:rsidR="00F76172" w:rsidRPr="00151138" w:rsidTr="00151138">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DBE5F1" w:themeFill="accent1" w:themeFillTint="33"/>
            <w:tcMar>
              <w:top w:w="75" w:type="dxa"/>
              <w:left w:w="75" w:type="dxa"/>
              <w:bottom w:w="75" w:type="dxa"/>
              <w:right w:w="75" w:type="dxa"/>
            </w:tcMar>
            <w:vAlign w:val="center"/>
            <w:hideMark/>
          </w:tcPr>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bookmarkStart w:id="5" w:name="JORFARTI000036677190"/>
            <w:bookmarkEnd w:id="5"/>
            <w:r w:rsidRPr="00151138">
              <w:rPr>
                <w:rFonts w:ascii="Times New Roman" w:eastAsia="Times New Roman" w:hAnsi="Times New Roman" w:cs="Times New Roman"/>
                <w:color w:val="000000"/>
                <w:sz w:val="24"/>
                <w:szCs w:val="24"/>
                <w:lang w:eastAsia="fr-FR"/>
              </w:rPr>
              <w:t>Si vous réservez des services de voyage supplémentaires pour votre voyage ou séjour de vacances via ce lien/ces liens, vous NE bénéficierez PAS des droits applicables aux forfaits au titre de la directive (UE) 2015/2302 et de l'article L.211-2 du code du tourisme.</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Notre entreprise/XY ne sera pas responsable de la bonne exécution de ces services de voyage supplémentaires. En cas de problème, veuillez contacter le prestataire de services concerné.</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Toutefois, si vous réservez des services de voyage supplémentaires via ce lien/ces liens dans un délai de 24 heures après avoir reçu confirmation de la réservation auprès de notre entreprise/XY, ces services de voyage feront partie d'une prestation de voyage liée. Dans ce cas, XY dispose, comme l'exige le droit de l'Union européenne, d'une protection afin de rembourser les sommes que vous lui avez versées pour des services qui n'ont pas été exécutés en raison de son insolvabilité. Veuillez noter qu'en l'occurrence, il n'est pas prévu de remboursement en cas d'insolvabilité du prestataire de services supplémentaires concerné.</w:t>
            </w:r>
          </w:p>
          <w:p w:rsidR="00151138" w:rsidRDefault="00151138" w:rsidP="00151138">
            <w:pPr>
              <w:spacing w:after="0" w:line="240" w:lineRule="auto"/>
              <w:jc w:val="both"/>
              <w:rPr>
                <w:rFonts w:ascii="Times New Roman" w:eastAsia="Times New Roman" w:hAnsi="Times New Roman" w:cs="Times New Roman"/>
                <w:color w:val="000000"/>
                <w:sz w:val="24"/>
                <w:szCs w:val="24"/>
                <w:lang w:eastAsia="fr-FR"/>
              </w:rPr>
            </w:pPr>
          </w:p>
          <w:p w:rsidR="00F76172" w:rsidRPr="00151138" w:rsidRDefault="00F76172" w:rsidP="00151138">
            <w:pPr>
              <w:spacing w:after="0" w:line="240" w:lineRule="auto"/>
              <w:jc w:val="both"/>
              <w:rPr>
                <w:rFonts w:ascii="Times New Roman" w:eastAsia="Times New Roman" w:hAnsi="Times New Roman" w:cs="Times New Roman"/>
                <w:color w:val="000000"/>
                <w:sz w:val="24"/>
                <w:szCs w:val="24"/>
                <w:lang w:eastAsia="fr-FR"/>
              </w:rPr>
            </w:pPr>
            <w:r w:rsidRPr="00151138">
              <w:rPr>
                <w:rFonts w:ascii="Times New Roman" w:eastAsia="Times New Roman" w:hAnsi="Times New Roman" w:cs="Times New Roman"/>
                <w:color w:val="000000"/>
                <w:sz w:val="24"/>
                <w:szCs w:val="24"/>
                <w:lang w:eastAsia="fr-FR"/>
              </w:rPr>
              <w:t>Pour plus d'informations sur la protection contre l'insolvabilité [à fournir sous forme d'hyperlien].</w:t>
            </w:r>
          </w:p>
        </w:tc>
      </w:tr>
    </w:tbl>
    <w:p w:rsidR="00151138" w:rsidRDefault="00151138" w:rsidP="00151138">
      <w:pPr>
        <w:shd w:val="clear" w:color="auto" w:fill="FFFFFF"/>
        <w:spacing w:line="240" w:lineRule="auto"/>
        <w:rPr>
          <w:rFonts w:ascii="Times New Roman" w:eastAsia="Times New Roman" w:hAnsi="Times New Roman" w:cs="Times New Roman"/>
          <w:color w:val="000000"/>
          <w:sz w:val="19"/>
          <w:szCs w:val="19"/>
          <w:lang w:eastAsia="fr-FR"/>
        </w:rPr>
      </w:pPr>
    </w:p>
    <w:p w:rsidR="00F76172" w:rsidRPr="00151138" w:rsidRDefault="00F76172" w:rsidP="00151138">
      <w:pPr>
        <w:shd w:val="clear" w:color="auto" w:fill="FFFFFF"/>
        <w:spacing w:after="0" w:line="240" w:lineRule="auto"/>
        <w:jc w:val="both"/>
        <w:rPr>
          <w:rFonts w:ascii="Times New Roman" w:eastAsia="Times New Roman" w:hAnsi="Times New Roman" w:cs="Times New Roman"/>
          <w:color w:val="000000"/>
          <w:u w:val="single"/>
          <w:lang w:eastAsia="fr-FR"/>
        </w:rPr>
      </w:pPr>
      <w:r w:rsidRPr="00151138">
        <w:rPr>
          <w:rFonts w:ascii="Times New Roman" w:eastAsia="Times New Roman" w:hAnsi="Times New Roman" w:cs="Times New Roman"/>
          <w:color w:val="000000"/>
          <w:u w:val="single"/>
          <w:lang w:eastAsia="fr-FR"/>
        </w:rPr>
        <w:t>En cliquant sur l'hyperlien, le voyageur recevra les informations suivantes :</w:t>
      </w:r>
    </w:p>
    <w:p w:rsidR="00151138" w:rsidRP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 xml:space="preserve">XY a souscrit une protection contre l'insolvabilité auprès </w:t>
      </w:r>
      <w:proofErr w:type="gramStart"/>
      <w:r w:rsidRPr="00151138">
        <w:rPr>
          <w:rFonts w:ascii="Times New Roman" w:eastAsia="Times New Roman" w:hAnsi="Times New Roman" w:cs="Times New Roman"/>
          <w:color w:val="000000"/>
          <w:lang w:eastAsia="fr-FR"/>
        </w:rPr>
        <w:t>de YZ</w:t>
      </w:r>
      <w:proofErr w:type="gramEnd"/>
      <w:r w:rsidRPr="00151138">
        <w:rPr>
          <w:rFonts w:ascii="Times New Roman" w:eastAsia="Times New Roman" w:hAnsi="Times New Roman" w:cs="Times New Roman"/>
          <w:color w:val="000000"/>
          <w:lang w:eastAsia="fr-FR"/>
        </w:rPr>
        <w:t xml:space="preserve"> [l'entité chargée de la protection contre l'insolvabilité, par exemple un fonds de garantie ou une compagnie d'assurances].</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Les voyageurs peuvent prendre contact avec cette entité (coordonnées du point de contact, y compris son nom, son adresse géographique, son adresse électronique et son numéro de téléphone) si les services leur sont refusés en raison de l'insolvabilité de XY.</w:t>
      </w:r>
    </w:p>
    <w:p w:rsidR="00151138" w:rsidRDefault="00151138" w:rsidP="00151138">
      <w:pPr>
        <w:shd w:val="clear" w:color="auto" w:fill="FFFFFF"/>
        <w:spacing w:line="240" w:lineRule="auto"/>
        <w:jc w:val="both"/>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Remarque : cette protection contre l'insolvabilité ne s'applique pas aux contrats conclus avec des parties autres que XY qui peuvent être exécutés en dépit de l'insolvabilité de XY.</w:t>
      </w:r>
    </w:p>
    <w:p w:rsidR="00151138" w:rsidRDefault="00151138" w:rsidP="00151138">
      <w:pPr>
        <w:shd w:val="clear" w:color="auto" w:fill="FFFFFF"/>
        <w:spacing w:after="0" w:line="240" w:lineRule="auto"/>
        <w:rPr>
          <w:rFonts w:ascii="Times New Roman" w:eastAsia="Times New Roman" w:hAnsi="Times New Roman" w:cs="Times New Roman"/>
          <w:color w:val="000000"/>
          <w:lang w:eastAsia="fr-FR"/>
        </w:rPr>
      </w:pPr>
    </w:p>
    <w:p w:rsidR="00151138" w:rsidRDefault="00151138" w:rsidP="00151138">
      <w:pPr>
        <w:shd w:val="clear" w:color="auto" w:fill="FFFFFF"/>
        <w:spacing w:after="0" w:line="240" w:lineRule="auto"/>
        <w:rPr>
          <w:rFonts w:ascii="Times New Roman" w:eastAsia="Times New Roman" w:hAnsi="Times New Roman" w:cs="Times New Roman"/>
          <w:color w:val="000000"/>
          <w:lang w:eastAsia="fr-FR"/>
        </w:rPr>
      </w:pPr>
      <w:r w:rsidRPr="00151138">
        <w:rPr>
          <w:rFonts w:ascii="Times New Roman" w:eastAsia="Times New Roman" w:hAnsi="Times New Roman" w:cs="Times New Roman"/>
          <w:color w:val="000000"/>
          <w:lang w:eastAsia="fr-FR"/>
        </w:rPr>
        <w:t>Directive (UE) 2015/2302 transposée en droit national</w:t>
      </w:r>
      <w:r>
        <w:rPr>
          <w:rFonts w:ascii="Times New Roman" w:eastAsia="Times New Roman" w:hAnsi="Times New Roman" w:cs="Times New Roman"/>
          <w:color w:val="000000"/>
          <w:lang w:eastAsia="fr-FR"/>
        </w:rPr>
        <w:t xml:space="preserve"> : </w:t>
      </w:r>
    </w:p>
    <w:p w:rsidR="00151138" w:rsidRPr="00151138" w:rsidRDefault="00151138" w:rsidP="00151138">
      <w:pPr>
        <w:shd w:val="clear" w:color="auto" w:fill="FFFFFF"/>
        <w:spacing w:after="0" w:line="240" w:lineRule="auto"/>
        <w:jc w:val="both"/>
        <w:rPr>
          <w:rStyle w:val="Lienhypertexte"/>
          <w:rFonts w:ascii="Times New Roman" w:hAnsi="Times New Roman" w:cs="Times New Roman"/>
        </w:rPr>
      </w:pPr>
      <w:hyperlink r:id="rId10" w:history="1">
        <w:r w:rsidRPr="00151138">
          <w:rPr>
            <w:rStyle w:val="Lienhypertexte"/>
            <w:rFonts w:ascii="Times New Roman" w:hAnsi="Times New Roman" w:cs="Times New Roman"/>
          </w:rPr>
          <w:t>https://www.legifrance.gouv.fr/affichCodeArticle.do;jsessionid=B6B56671A51841699A8FB7B4B5EB08A2.tplgfr21s_1?idArticle=LEGIARTI000036242695&amp;cidTexte=LEGITEXT000006074073&amp;categorieLien=id&amp;dateTexte=20180701</w:t>
        </w:r>
      </w:hyperlink>
    </w:p>
    <w:p w:rsidR="00151138" w:rsidRPr="00151138" w:rsidRDefault="00151138" w:rsidP="00151138">
      <w:pPr>
        <w:shd w:val="clear" w:color="auto" w:fill="FFFFFF"/>
        <w:spacing w:line="240" w:lineRule="auto"/>
        <w:rPr>
          <w:rFonts w:ascii="Times New Roman" w:eastAsia="Times New Roman" w:hAnsi="Times New Roman" w:cs="Times New Roman"/>
          <w:color w:val="000000"/>
          <w:lang w:eastAsia="fr-FR"/>
        </w:rPr>
      </w:pPr>
    </w:p>
    <w:p w:rsidR="00F76172" w:rsidRPr="00DE70EB" w:rsidRDefault="00F76172" w:rsidP="00F76172">
      <w:pPr>
        <w:shd w:val="clear" w:color="auto" w:fill="FFFFFF"/>
        <w:spacing w:before="180" w:after="180" w:line="240" w:lineRule="auto"/>
        <w:rPr>
          <w:rFonts w:ascii="Times New Roman" w:eastAsia="Times New Roman" w:hAnsi="Times New Roman" w:cs="Times New Roman"/>
          <w:color w:val="000000"/>
          <w:sz w:val="19"/>
          <w:szCs w:val="19"/>
          <w:lang w:eastAsia="fr-FR"/>
        </w:rPr>
      </w:pPr>
    </w:p>
    <w:p w:rsidR="0084019C" w:rsidRPr="00DE70EB" w:rsidRDefault="00B7257B">
      <w:pPr>
        <w:rPr>
          <w:rFonts w:ascii="Times New Roman" w:hAnsi="Times New Roman" w:cs="Times New Roman"/>
        </w:rPr>
      </w:pPr>
    </w:p>
    <w:sectPr w:rsidR="0084019C" w:rsidRPr="00DE7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4DBB"/>
    <w:multiLevelType w:val="multilevel"/>
    <w:tmpl w:val="92E29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63"/>
    <w:rsid w:val="00151138"/>
    <w:rsid w:val="00192F42"/>
    <w:rsid w:val="00823EBF"/>
    <w:rsid w:val="00A72363"/>
    <w:rsid w:val="00B405E7"/>
    <w:rsid w:val="00B7257B"/>
    <w:rsid w:val="00DE70EB"/>
    <w:rsid w:val="00F30B31"/>
    <w:rsid w:val="00F76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7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7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2182">
      <w:bodyDiv w:val="1"/>
      <w:marLeft w:val="0"/>
      <w:marRight w:val="0"/>
      <w:marTop w:val="0"/>
      <w:marBottom w:val="0"/>
      <w:divBdr>
        <w:top w:val="none" w:sz="0" w:space="0" w:color="auto"/>
        <w:left w:val="none" w:sz="0" w:space="0" w:color="auto"/>
        <w:bottom w:val="none" w:sz="0" w:space="0" w:color="auto"/>
        <w:right w:val="none" w:sz="0" w:space="0" w:color="auto"/>
      </w:divBdr>
      <w:divsChild>
        <w:div w:id="1351182910">
          <w:marLeft w:val="0"/>
          <w:marRight w:val="0"/>
          <w:marTop w:val="525"/>
          <w:marBottom w:val="525"/>
          <w:divBdr>
            <w:top w:val="none" w:sz="0" w:space="0" w:color="auto"/>
            <w:left w:val="none" w:sz="0" w:space="0" w:color="auto"/>
            <w:bottom w:val="none" w:sz="0" w:space="0" w:color="auto"/>
            <w:right w:val="none" w:sz="0" w:space="0" w:color="auto"/>
          </w:divBdr>
        </w:div>
        <w:div w:id="2146771923">
          <w:marLeft w:val="0"/>
          <w:marRight w:val="0"/>
          <w:marTop w:val="450"/>
          <w:marBottom w:val="300"/>
          <w:divBdr>
            <w:top w:val="none" w:sz="0" w:space="0" w:color="auto"/>
            <w:left w:val="none" w:sz="0" w:space="0" w:color="auto"/>
            <w:bottom w:val="none" w:sz="0" w:space="0" w:color="auto"/>
            <w:right w:val="none" w:sz="0" w:space="0" w:color="auto"/>
          </w:divBdr>
        </w:div>
        <w:div w:id="1220093021">
          <w:marLeft w:val="0"/>
          <w:marRight w:val="0"/>
          <w:marTop w:val="525"/>
          <w:marBottom w:val="525"/>
          <w:divBdr>
            <w:top w:val="none" w:sz="0" w:space="0" w:color="auto"/>
            <w:left w:val="none" w:sz="0" w:space="0" w:color="auto"/>
            <w:bottom w:val="none" w:sz="0" w:space="0" w:color="auto"/>
            <w:right w:val="none" w:sz="0" w:space="0" w:color="auto"/>
          </w:divBdr>
        </w:div>
        <w:div w:id="349836425">
          <w:marLeft w:val="0"/>
          <w:marRight w:val="0"/>
          <w:marTop w:val="450"/>
          <w:marBottom w:val="300"/>
          <w:divBdr>
            <w:top w:val="none" w:sz="0" w:space="0" w:color="auto"/>
            <w:left w:val="none" w:sz="0" w:space="0" w:color="auto"/>
            <w:bottom w:val="none" w:sz="0" w:space="0" w:color="auto"/>
            <w:right w:val="none" w:sz="0" w:space="0" w:color="auto"/>
          </w:divBdr>
        </w:div>
        <w:div w:id="1510873927">
          <w:marLeft w:val="0"/>
          <w:marRight w:val="0"/>
          <w:marTop w:val="525"/>
          <w:marBottom w:val="525"/>
          <w:divBdr>
            <w:top w:val="none" w:sz="0" w:space="0" w:color="auto"/>
            <w:left w:val="none" w:sz="0" w:space="0" w:color="auto"/>
            <w:bottom w:val="none" w:sz="0" w:space="0" w:color="auto"/>
            <w:right w:val="none" w:sz="0" w:space="0" w:color="auto"/>
          </w:divBdr>
        </w:div>
        <w:div w:id="327513800">
          <w:marLeft w:val="0"/>
          <w:marRight w:val="0"/>
          <w:marTop w:val="450"/>
          <w:marBottom w:val="300"/>
          <w:divBdr>
            <w:top w:val="none" w:sz="0" w:space="0" w:color="auto"/>
            <w:left w:val="none" w:sz="0" w:space="0" w:color="auto"/>
            <w:bottom w:val="none" w:sz="0" w:space="0" w:color="auto"/>
            <w:right w:val="none" w:sz="0" w:space="0" w:color="auto"/>
          </w:divBdr>
        </w:div>
        <w:div w:id="2010983694">
          <w:marLeft w:val="0"/>
          <w:marRight w:val="0"/>
          <w:marTop w:val="525"/>
          <w:marBottom w:val="525"/>
          <w:divBdr>
            <w:top w:val="none" w:sz="0" w:space="0" w:color="auto"/>
            <w:left w:val="none" w:sz="0" w:space="0" w:color="auto"/>
            <w:bottom w:val="none" w:sz="0" w:space="0" w:color="auto"/>
            <w:right w:val="none" w:sz="0" w:space="0" w:color="auto"/>
          </w:divBdr>
        </w:div>
        <w:div w:id="271712795">
          <w:marLeft w:val="0"/>
          <w:marRight w:val="0"/>
          <w:marTop w:val="450"/>
          <w:marBottom w:val="300"/>
          <w:divBdr>
            <w:top w:val="none" w:sz="0" w:space="0" w:color="auto"/>
            <w:left w:val="none" w:sz="0" w:space="0" w:color="auto"/>
            <w:bottom w:val="none" w:sz="0" w:space="0" w:color="auto"/>
            <w:right w:val="none" w:sz="0" w:space="0" w:color="auto"/>
          </w:divBdr>
        </w:div>
        <w:div w:id="1286471795">
          <w:marLeft w:val="0"/>
          <w:marRight w:val="0"/>
          <w:marTop w:val="525"/>
          <w:marBottom w:val="525"/>
          <w:divBdr>
            <w:top w:val="none" w:sz="0" w:space="0" w:color="auto"/>
            <w:left w:val="none" w:sz="0" w:space="0" w:color="auto"/>
            <w:bottom w:val="none" w:sz="0" w:space="0" w:color="auto"/>
            <w:right w:val="none" w:sz="0" w:space="0" w:color="auto"/>
          </w:divBdr>
        </w:div>
        <w:div w:id="955715996">
          <w:marLeft w:val="0"/>
          <w:marRight w:val="0"/>
          <w:marTop w:val="450"/>
          <w:marBottom w:val="300"/>
          <w:divBdr>
            <w:top w:val="none" w:sz="0" w:space="0" w:color="auto"/>
            <w:left w:val="none" w:sz="0" w:space="0" w:color="auto"/>
            <w:bottom w:val="none" w:sz="0" w:space="0" w:color="auto"/>
            <w:right w:val="none" w:sz="0" w:space="0" w:color="auto"/>
          </w:divBdr>
        </w:div>
        <w:div w:id="83232636">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3" Type="http://schemas.microsoft.com/office/2007/relationships/stylesWithEffects" Target="stylesWithEffects.xml"/><Relationship Id="rId7"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1895</Words>
  <Characters>10426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Bellarbre</dc:creator>
  <cp:keywords/>
  <dc:description/>
  <cp:lastModifiedBy>Cécile Bellarbre</cp:lastModifiedBy>
  <cp:revision>5</cp:revision>
  <dcterms:created xsi:type="dcterms:W3CDTF">2018-03-09T11:01:00Z</dcterms:created>
  <dcterms:modified xsi:type="dcterms:W3CDTF">2018-03-13T16:18:00Z</dcterms:modified>
</cp:coreProperties>
</file>